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80" w:rsidRDefault="00106877" w:rsidP="00106877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106877" w:rsidRDefault="00106877" w:rsidP="00106877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106877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106877" w:rsidRPr="00106877" w:rsidRDefault="00106877" w:rsidP="00106877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FE9F859" wp14:editId="45623490">
            <wp:extent cx="9010650" cy="5924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06877" w:rsidRPr="00106877" w:rsidSect="001068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7"/>
    <w:rsid w:val="00106877"/>
    <w:rsid w:val="007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BA0A-D097-43CA-BF84-D44E18C4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0349400"/>
        <c:axId val="410350184"/>
        <c:axId val="0"/>
      </c:bar3DChart>
      <c:catAx>
        <c:axId val="410349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350184"/>
        <c:crosses val="autoZero"/>
        <c:auto val="1"/>
        <c:lblAlgn val="ctr"/>
        <c:lblOffset val="100"/>
        <c:noMultiLvlLbl val="0"/>
      </c:catAx>
      <c:valAx>
        <c:axId val="4103501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034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0.16279</cdr:x>
      <cdr:y>0.69132</cdr:y>
    </cdr:from>
    <cdr:to>
      <cdr:x>0.57294</cdr:x>
      <cdr:y>0.73151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4095750"/>
          <a:ext cx="3695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1,904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0.16385</cdr:x>
      <cdr:y>0.75241</cdr:y>
    </cdr:from>
    <cdr:to>
      <cdr:x>0.60888</cdr:x>
      <cdr:y>0.79743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457700"/>
          <a:ext cx="4010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1,554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1967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0.16279</cdr:x>
      <cdr:y>0.81511</cdr:y>
    </cdr:from>
    <cdr:to>
      <cdr:x>0.574</cdr:x>
      <cdr:y>0.85531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4829175"/>
          <a:ext cx="3705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1,679</a:t>
          </a:r>
          <a:r>
            <a:rPr lang="en-US" sz="1000" i="1"/>
            <a:t> - Average Year Built </a:t>
          </a:r>
          <a:r>
            <a:rPr lang="en-US" sz="1000" b="1" i="1"/>
            <a:t>1968</a:t>
          </a:r>
        </a:p>
      </cdr:txBody>
    </cdr:sp>
  </cdr:relSizeAnchor>
  <cdr:relSizeAnchor xmlns:cdr="http://schemas.openxmlformats.org/drawingml/2006/chartDrawing">
    <cdr:from>
      <cdr:x>0.16279</cdr:x>
      <cdr:y>0.87781</cdr:y>
    </cdr:from>
    <cdr:to>
      <cdr:x>0.50211</cdr:x>
      <cdr:y>0.92283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5200650"/>
          <a:ext cx="30575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1,202</a:t>
          </a:r>
          <a:r>
            <a:rPr lang="en-US" sz="1000" i="1"/>
            <a:t> - Average Year Built </a:t>
          </a:r>
          <a:r>
            <a:rPr lang="en-US" sz="1000" b="1" i="1"/>
            <a:t>1957</a:t>
          </a:r>
        </a:p>
      </cdr:txBody>
    </cdr:sp>
  </cdr:relSizeAnchor>
  <cdr:relSizeAnchor xmlns:cdr="http://schemas.openxmlformats.org/drawingml/2006/chartDrawing">
    <cdr:from>
      <cdr:x>0.16068</cdr:x>
      <cdr:y>0.94051</cdr:y>
    </cdr:from>
    <cdr:to>
      <cdr:x>0.537</cdr:x>
      <cdr:y>0.98714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47800" y="5572125"/>
          <a:ext cx="33909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1,423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1966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2017-01-24T23:35:00Z</dcterms:created>
  <dcterms:modified xsi:type="dcterms:W3CDTF">2017-01-24T23:40:00Z</dcterms:modified>
</cp:coreProperties>
</file>